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84F81D" w14:textId="77777777" w:rsidR="008B055D" w:rsidRPr="008B055D" w:rsidRDefault="008B055D" w:rsidP="008B055D">
      <w:r>
        <w:t>Policy Title: [Company Name] Risk Appetite Policy</w:t>
        <w:br/>
        <w:t>Effective Date: [Insert Date]</w:t>
        <w:br/>
        <w:t>Last Review Date: [Insert Date]</w:t>
        <w:br/>
        <w:t>Next Scheduled Review: [Insert Date]</w:t>
      </w:r>
    </w:p>
    <w:p w14:paraId="69E4F627" w14:textId="77777777" w:rsidR="008B055D" w:rsidRDefault="008B055D" w:rsidP="008B055D">
      <w:pPr>
        <w:shd w:val="clear" w:color="auto" w:fill="FFF2CC" w:themeFill="accent4" w:themeFillTint="33"/>
        <w:rPr>
          <w:b/>
          <w:bCs/>
        </w:rPr>
      </w:pPr>
      <w:r w:rsidRPr="008B055D">
        <w:rPr>
          <w:b/>
          <w:bCs/>
        </w:rPr>
        <w:t>1. Purpose</w:t>
      </w:r>
    </w:p>
    <w:p w14:paraId="68A98682" w14:textId="2D9738C7" w:rsidR="008B055D" w:rsidRPr="008B055D" w:rsidRDefault="008B055D" w:rsidP="008B055D">
      <w:r>
        <w:t>This policy defines [Company Name]’s risk appetite—the level and nature of risks that the company is prepared to assume—to achieve its key strategic objectives:</w:t>
      </w:r>
    </w:p>
    <w:p w14:paraId="4A9A1CB1" w14:textId="77777777" w:rsidR="008B055D" w:rsidRPr="008B055D" w:rsidRDefault="008B055D" w:rsidP="008B055D">
      <w:pPr>
        <w:numPr>
          <w:ilvl w:val="0"/>
          <w:numId w:val="8"/>
        </w:numPr>
      </w:pPr>
      <w:r w:rsidRPr="008B055D">
        <w:t>Achieve year-on-year (YoY) growth exceeding 20% (a top-quartile growth rate for the food-tech sector)</w:t>
      </w:r>
    </w:p>
    <w:p w14:paraId="154B889F" w14:textId="77777777" w:rsidR="008B055D" w:rsidRPr="008B055D" w:rsidRDefault="008B055D" w:rsidP="008B055D">
      <w:pPr>
        <w:numPr>
          <w:ilvl w:val="0"/>
          <w:numId w:val="8"/>
        </w:numPr>
      </w:pPr>
      <w:r w:rsidRPr="008B055D">
        <w:t>Maintain sustainable profitability (e.g., target EBITDA margins &gt;10–15% in line with mature food-service operations)</w:t>
      </w:r>
    </w:p>
    <w:p w14:paraId="0DC4F8D5" w14:textId="77777777" w:rsidR="008B055D" w:rsidRPr="008B055D" w:rsidRDefault="008B055D" w:rsidP="008B055D">
      <w:pPr>
        <w:numPr>
          <w:ilvl w:val="0"/>
          <w:numId w:val="8"/>
        </w:numPr>
      </w:pPr>
      <w:r w:rsidRPr="008B055D">
        <w:t>Attain IPO readiness, including compliance with governance standards (e.g., COSO, ISO), robust internal controls, and data integrity</w:t>
      </w:r>
    </w:p>
    <w:p w14:paraId="588AB847" w14:textId="77777777" w:rsidR="008B055D" w:rsidRPr="008B055D" w:rsidRDefault="008B055D" w:rsidP="008B055D">
      <w:r w:rsidRPr="008B055D">
        <w:t>This policy ensures that strategic and operational decisions balance ambition with prudence, meeting investor expectations and regulatory requirements.</w:t>
      </w:r>
    </w:p>
    <w:p w14:paraId="3A8D3C33" w14:textId="77777777" w:rsidR="008B055D" w:rsidRDefault="008B055D" w:rsidP="008B055D">
      <w:pPr>
        <w:shd w:val="clear" w:color="auto" w:fill="FFF2CC" w:themeFill="accent4" w:themeFillTint="33"/>
        <w:rPr>
          <w:b/>
          <w:bCs/>
        </w:rPr>
      </w:pPr>
      <w:r w:rsidRPr="008B055D">
        <w:rPr>
          <w:b/>
          <w:bCs/>
        </w:rPr>
        <w:t>2. Scope</w:t>
      </w:r>
    </w:p>
    <w:p w14:paraId="275CA9BF" w14:textId="574B38E8" w:rsidR="008B055D" w:rsidRPr="008B055D" w:rsidRDefault="008B055D" w:rsidP="008B055D">
      <w:r>
        <w:t>This policy applies to all [Company Name] business units, functions, and personnel, including executives, managers, employees, contractors, and partners who influence the company’s risk exposure.</w:t>
      </w:r>
    </w:p>
    <w:p w14:paraId="07F5B081" w14:textId="77777777" w:rsidR="008B055D" w:rsidRPr="008B055D" w:rsidRDefault="008B055D" w:rsidP="008B055D">
      <w:pPr>
        <w:shd w:val="clear" w:color="auto" w:fill="FFF2CC" w:themeFill="accent4" w:themeFillTint="33"/>
      </w:pPr>
      <w:r w:rsidRPr="008B055D">
        <w:rPr>
          <w:b/>
          <w:bCs/>
        </w:rPr>
        <w:t>3. Governance &amp; Accountability</w:t>
      </w:r>
    </w:p>
    <w:p w14:paraId="778108F8" w14:textId="77777777" w:rsidR="008B055D" w:rsidRPr="008B055D" w:rsidRDefault="008B055D" w:rsidP="008B055D">
      <w:pPr>
        <w:numPr>
          <w:ilvl w:val="0"/>
          <w:numId w:val="9"/>
        </w:numPr>
      </w:pPr>
      <w:r w:rsidRPr="008B055D">
        <w:rPr>
          <w:b/>
          <w:bCs/>
        </w:rPr>
        <w:t>Board of Directors &amp; Risk Committee:</w:t>
      </w:r>
    </w:p>
    <w:p w14:paraId="2C421692" w14:textId="77777777" w:rsidR="008B055D" w:rsidRPr="008B055D" w:rsidRDefault="008B055D" w:rsidP="008B055D">
      <w:pPr>
        <w:numPr>
          <w:ilvl w:val="1"/>
          <w:numId w:val="9"/>
        </w:numPr>
      </w:pPr>
      <w:r w:rsidRPr="008B055D">
        <w:t>Establish and annually review risk appetite levels.</w:t>
      </w:r>
    </w:p>
    <w:p w14:paraId="7E6897E8" w14:textId="77777777" w:rsidR="008B055D" w:rsidRPr="008B055D" w:rsidRDefault="008B055D" w:rsidP="008B055D">
      <w:pPr>
        <w:numPr>
          <w:ilvl w:val="1"/>
          <w:numId w:val="9"/>
        </w:numPr>
      </w:pPr>
      <w:r w:rsidRPr="008B055D">
        <w:t>Approve Key Risk Indicators (KRIs) and Key Performance Indicators (KPIs), along with thresholds informed by industry benchmarks and internal data.</w:t>
      </w:r>
    </w:p>
    <w:p w14:paraId="0D989A51" w14:textId="77777777" w:rsidR="008B055D" w:rsidRPr="008B055D" w:rsidRDefault="008B055D" w:rsidP="008B055D">
      <w:pPr>
        <w:numPr>
          <w:ilvl w:val="1"/>
          <w:numId w:val="9"/>
        </w:numPr>
      </w:pPr>
      <w:r w:rsidRPr="008B055D">
        <w:t>Oversee alignment with strategic objectives, profitability targets, and IPO readiness.</w:t>
      </w:r>
    </w:p>
    <w:p w14:paraId="3264D2CB" w14:textId="77777777" w:rsidR="008B055D" w:rsidRPr="008B055D" w:rsidRDefault="008B055D" w:rsidP="008B055D">
      <w:pPr>
        <w:numPr>
          <w:ilvl w:val="0"/>
          <w:numId w:val="9"/>
        </w:numPr>
      </w:pPr>
      <w:r w:rsidRPr="008B055D">
        <w:rPr>
          <w:b/>
          <w:bCs/>
        </w:rPr>
        <w:t>Executive Management:</w:t>
      </w:r>
    </w:p>
    <w:p w14:paraId="60F78684" w14:textId="77777777" w:rsidR="008B055D" w:rsidRPr="008B055D" w:rsidRDefault="008B055D" w:rsidP="008B055D">
      <w:pPr>
        <w:numPr>
          <w:ilvl w:val="1"/>
          <w:numId w:val="9"/>
        </w:numPr>
      </w:pPr>
      <w:r w:rsidRPr="008B055D">
        <w:t>Operationalize risk appetite through investment decisions, market entries, supplier selections, and staffing.</w:t>
      </w:r>
    </w:p>
    <w:p w14:paraId="12F06ED1" w14:textId="77777777" w:rsidR="008B055D" w:rsidRPr="008B055D" w:rsidRDefault="008B055D" w:rsidP="008B055D">
      <w:pPr>
        <w:numPr>
          <w:ilvl w:val="1"/>
          <w:numId w:val="9"/>
        </w:numPr>
      </w:pPr>
      <w:r w:rsidRPr="008B055D">
        <w:t>Ensure KRIs/KPIs are measured, monitored, and reported regularly.</w:t>
      </w:r>
    </w:p>
    <w:p w14:paraId="2CD7FAE1" w14:textId="77777777" w:rsidR="008B055D" w:rsidRPr="008B055D" w:rsidRDefault="008B055D" w:rsidP="008B055D">
      <w:pPr>
        <w:numPr>
          <w:ilvl w:val="1"/>
          <w:numId w:val="9"/>
        </w:numPr>
      </w:pPr>
      <w:r w:rsidRPr="008B055D">
        <w:t>Approve exceptions or trade-offs when short-term profitability conflicts with growth targets, ensuring long-term brand value and investor confidence.</w:t>
      </w:r>
    </w:p>
    <w:p w14:paraId="74C050FE" w14:textId="77777777" w:rsidR="008B055D" w:rsidRPr="008B055D" w:rsidRDefault="008B055D" w:rsidP="008B055D">
      <w:pPr>
        <w:numPr>
          <w:ilvl w:val="0"/>
          <w:numId w:val="9"/>
        </w:numPr>
      </w:pPr>
      <w:r w:rsidRPr="008B055D">
        <w:rPr>
          <w:b/>
          <w:bCs/>
        </w:rPr>
        <w:t>Functional Leads &amp; Managers:</w:t>
      </w:r>
    </w:p>
    <w:p w14:paraId="10F01683" w14:textId="77777777" w:rsidR="008B055D" w:rsidRPr="008B055D" w:rsidRDefault="008B055D" w:rsidP="008B055D">
      <w:pPr>
        <w:numPr>
          <w:ilvl w:val="1"/>
          <w:numId w:val="9"/>
        </w:numPr>
      </w:pPr>
      <w:r w:rsidRPr="008B055D">
        <w:t>Implement SOPs, controls, and training aligned with stated risk thresholds.</w:t>
      </w:r>
    </w:p>
    <w:p w14:paraId="659C6B57" w14:textId="77777777" w:rsidR="008B055D" w:rsidRPr="008B055D" w:rsidRDefault="008B055D" w:rsidP="008B055D">
      <w:pPr>
        <w:numPr>
          <w:ilvl w:val="1"/>
          <w:numId w:val="9"/>
        </w:numPr>
      </w:pPr>
      <w:r w:rsidRPr="008B055D">
        <w:t>Monitor KRIs/KPIs (e.g., supplier performance, service levels) and report deviations promptly.</w:t>
      </w:r>
    </w:p>
    <w:p w14:paraId="3CCEDAF2" w14:textId="77777777" w:rsidR="008B055D" w:rsidRPr="008B055D" w:rsidRDefault="008B055D" w:rsidP="008B055D">
      <w:pPr>
        <w:numPr>
          <w:ilvl w:val="1"/>
          <w:numId w:val="9"/>
        </w:numPr>
      </w:pPr>
      <w:r w:rsidRPr="008B055D">
        <w:t>Escalate any sustained deviations for corrective actions.</w:t>
      </w:r>
    </w:p>
    <w:p w14:paraId="66B256CB" w14:textId="77777777" w:rsidR="008B055D" w:rsidRPr="008B055D" w:rsidRDefault="008B055D" w:rsidP="008B055D">
      <w:pPr>
        <w:numPr>
          <w:ilvl w:val="0"/>
          <w:numId w:val="9"/>
        </w:numPr>
      </w:pPr>
      <w:r w:rsidRPr="008B055D">
        <w:rPr>
          <w:b/>
          <w:bCs/>
        </w:rPr>
        <w:t>All Personnel:</w:t>
      </w:r>
    </w:p>
    <w:p w14:paraId="62B8A4A0" w14:textId="77777777" w:rsidR="008B055D" w:rsidRPr="008B055D" w:rsidRDefault="008B055D" w:rsidP="008B055D">
      <w:pPr>
        <w:numPr>
          <w:ilvl w:val="1"/>
          <w:numId w:val="9"/>
        </w:numPr>
      </w:pPr>
      <w:r w:rsidRPr="008B055D">
        <w:lastRenderedPageBreak/>
        <w:t>Comply with established SOPs, training, and ethical guidelines.</w:t>
      </w:r>
    </w:p>
    <w:p w14:paraId="60908A21" w14:textId="77777777" w:rsidR="008B055D" w:rsidRPr="008B055D" w:rsidRDefault="008B055D" w:rsidP="008B055D">
      <w:pPr>
        <w:numPr>
          <w:ilvl w:val="1"/>
          <w:numId w:val="9"/>
        </w:numPr>
      </w:pPr>
      <w:r w:rsidRPr="008B055D">
        <w:t>Promptly report incidents or emerging risks.</w:t>
      </w:r>
    </w:p>
    <w:p w14:paraId="2410056F" w14:textId="77777777" w:rsidR="008B055D" w:rsidRPr="008B055D" w:rsidRDefault="008B055D" w:rsidP="008B055D">
      <w:pPr>
        <w:numPr>
          <w:ilvl w:val="1"/>
          <w:numId w:val="9"/>
        </w:numPr>
      </w:pPr>
      <w:r w:rsidRPr="008B055D">
        <w:t>Contribute to a culture that values proactive risk management.</w:t>
      </w:r>
    </w:p>
    <w:p w14:paraId="64FCCAEE" w14:textId="77777777" w:rsidR="008B055D" w:rsidRDefault="008B055D" w:rsidP="008B055D">
      <w:pPr>
        <w:shd w:val="clear" w:color="auto" w:fill="FFF2CC" w:themeFill="accent4" w:themeFillTint="33"/>
        <w:rPr>
          <w:b/>
          <w:bCs/>
        </w:rPr>
      </w:pPr>
      <w:r w:rsidRPr="008B055D">
        <w:rPr>
          <w:b/>
          <w:bCs/>
        </w:rPr>
        <w:t>4. Risk Appetite by Category</w:t>
      </w:r>
    </w:p>
    <w:p w14:paraId="2EBC17E3" w14:textId="7C1B310C" w:rsidR="008B055D" w:rsidRPr="008B055D" w:rsidRDefault="008B055D" w:rsidP="008B055D">
      <w:r w:rsidRPr="008B055D">
        <w:t xml:space="preserve">Below is a </w:t>
      </w:r>
      <w:proofErr w:type="gramStart"/>
      <w:r w:rsidRPr="008B055D">
        <w:t>table detailing risk appetites</w:t>
      </w:r>
      <w:proofErr w:type="gramEnd"/>
      <w:r w:rsidRPr="008B055D">
        <w:t>, rationales, boundaries, and illustrative KRIs/KPIs with industry benchmarks. Actual values should be validated and refined periodically.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7"/>
        <w:gridCol w:w="1049"/>
        <w:gridCol w:w="2154"/>
        <w:gridCol w:w="2602"/>
        <w:gridCol w:w="1794"/>
      </w:tblGrid>
      <w:tr w:rsidR="008B055D" w:rsidRPr="008B055D" w14:paraId="00F58E4B" w14:textId="77777777" w:rsidTr="00306255">
        <w:trPr>
          <w:tblHeader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00ED309E" w14:textId="77777777" w:rsidR="008B055D" w:rsidRPr="008B055D" w:rsidRDefault="008B055D" w:rsidP="008B055D">
            <w:pPr>
              <w:ind w:left="57" w:right="57"/>
              <w:contextualSpacing/>
              <w:rPr>
                <w:b/>
                <w:bCs/>
              </w:rPr>
            </w:pPr>
            <w:r w:rsidRPr="008B055D">
              <w:rPr>
                <w:b/>
                <w:bCs/>
              </w:rPr>
              <w:t>Risk Dimension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266EC603" w14:textId="77777777" w:rsidR="008B055D" w:rsidRPr="008B055D" w:rsidRDefault="008B055D" w:rsidP="008B055D">
            <w:pPr>
              <w:ind w:left="57" w:right="57"/>
              <w:contextualSpacing/>
              <w:rPr>
                <w:b/>
                <w:bCs/>
              </w:rPr>
            </w:pPr>
            <w:r w:rsidRPr="008B055D">
              <w:rPr>
                <w:b/>
                <w:bCs/>
              </w:rPr>
              <w:t>Appetite</w:t>
            </w:r>
          </w:p>
        </w:tc>
        <w:tc>
          <w:tcPr>
            <w:tcW w:w="2154" w:type="dxa"/>
            <w:shd w:val="clear" w:color="auto" w:fill="E2EFD9" w:themeFill="accent6" w:themeFillTint="33"/>
            <w:vAlign w:val="center"/>
            <w:hideMark/>
          </w:tcPr>
          <w:p w14:paraId="02AF25CE" w14:textId="77777777" w:rsidR="008B055D" w:rsidRPr="008B055D" w:rsidRDefault="008B055D" w:rsidP="008B055D">
            <w:pPr>
              <w:ind w:left="57" w:right="57"/>
              <w:contextualSpacing/>
              <w:rPr>
                <w:b/>
                <w:bCs/>
              </w:rPr>
            </w:pPr>
            <w:r w:rsidRPr="008B055D">
              <w:rPr>
                <w:b/>
                <w:bCs/>
              </w:rPr>
              <w:t>Rationale &amp; Context</w:t>
            </w:r>
          </w:p>
        </w:tc>
        <w:tc>
          <w:tcPr>
            <w:tcW w:w="2602" w:type="dxa"/>
            <w:shd w:val="clear" w:color="auto" w:fill="E2EFD9" w:themeFill="accent6" w:themeFillTint="33"/>
            <w:vAlign w:val="center"/>
            <w:hideMark/>
          </w:tcPr>
          <w:p w14:paraId="1449FE1B" w14:textId="77777777" w:rsidR="008B055D" w:rsidRPr="008B055D" w:rsidRDefault="008B055D" w:rsidP="008B055D">
            <w:pPr>
              <w:ind w:left="57" w:right="57"/>
              <w:contextualSpacing/>
              <w:rPr>
                <w:b/>
                <w:bCs/>
              </w:rPr>
            </w:pPr>
            <w:r w:rsidRPr="008B055D">
              <w:rPr>
                <w:b/>
                <w:bCs/>
              </w:rPr>
              <w:t>Boundaries &amp; Tolerances (with Industry Benchmarks)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75A61EB9" w14:textId="77777777" w:rsidR="008B055D" w:rsidRPr="008B055D" w:rsidRDefault="008B055D" w:rsidP="008B055D">
            <w:pPr>
              <w:ind w:left="57" w:right="57"/>
              <w:contextualSpacing/>
              <w:rPr>
                <w:b/>
                <w:bCs/>
              </w:rPr>
            </w:pPr>
            <w:r w:rsidRPr="008B055D">
              <w:rPr>
                <w:b/>
                <w:bCs/>
              </w:rPr>
              <w:t>Example KRIs &amp; KPIs</w:t>
            </w:r>
          </w:p>
        </w:tc>
      </w:tr>
      <w:tr w:rsidR="008B055D" w:rsidRPr="008B055D" w14:paraId="5C11D097" w14:textId="77777777" w:rsidTr="00306255">
        <w:tc>
          <w:tcPr>
            <w:tcW w:w="0" w:type="auto"/>
            <w:vAlign w:val="center"/>
            <w:hideMark/>
          </w:tcPr>
          <w:p w14:paraId="67607E7A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rPr>
                <w:b/>
                <w:bCs/>
              </w:rPr>
              <w:t>Strategic &amp; Growth Risks</w:t>
            </w:r>
          </w:p>
        </w:tc>
        <w:tc>
          <w:tcPr>
            <w:tcW w:w="0" w:type="auto"/>
            <w:vAlign w:val="center"/>
            <w:hideMark/>
          </w:tcPr>
          <w:p w14:paraId="7BE1071A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t>Moderate to High</w:t>
            </w:r>
          </w:p>
        </w:tc>
        <w:tc>
          <w:tcPr>
            <w:tcW w:w="2154" w:type="dxa"/>
            <w:vAlign w:val="center"/>
            <w:hideMark/>
          </w:tcPr>
          <w:p w14:paraId="02DA749F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t>Pursue &gt;20% YoY revenue growth (top-quartile in food-tech) through market expansion, dine-in concepts, and subscription models.</w:t>
            </w:r>
          </w:p>
        </w:tc>
        <w:tc>
          <w:tcPr>
            <w:tcW w:w="2602" w:type="dxa"/>
            <w:vAlign w:val="center"/>
            <w:hideMark/>
          </w:tcPr>
          <w:p w14:paraId="11B8BB20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t>Avoid markets with severe regulatory/political instability. Growth initiatives reducing short-term profit margins by &gt;10% require executive approval. 20%+ YoY growth aligns with sector’s high-growth standards.</w:t>
            </w:r>
          </w:p>
        </w:tc>
        <w:tc>
          <w:tcPr>
            <w:tcW w:w="0" w:type="auto"/>
            <w:vAlign w:val="center"/>
            <w:hideMark/>
          </w:tcPr>
          <w:p w14:paraId="76EF796A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rPr>
                <w:b/>
                <w:bCs/>
              </w:rPr>
              <w:t>KRIs:</w:t>
            </w:r>
            <w:r w:rsidRPr="008B055D">
              <w:t xml:space="preserve"> % of new markets hitting revenue targets within 12 months. </w:t>
            </w:r>
            <w:r w:rsidRPr="008B055D">
              <w:rPr>
                <w:b/>
                <w:bCs/>
              </w:rPr>
              <w:t>KPIs:</w:t>
            </w:r>
            <w:r w:rsidRPr="008B055D">
              <w:t xml:space="preserve"> &gt;20% YoY revenue growth, EBITDA margin &gt;10–15%.</w:t>
            </w:r>
          </w:p>
        </w:tc>
      </w:tr>
      <w:tr w:rsidR="008B055D" w:rsidRPr="008B055D" w14:paraId="15AFAA59" w14:textId="77777777" w:rsidTr="00306255">
        <w:tc>
          <w:tcPr>
            <w:tcW w:w="0" w:type="auto"/>
            <w:vAlign w:val="center"/>
            <w:hideMark/>
          </w:tcPr>
          <w:p w14:paraId="327C1F13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rPr>
                <w:b/>
                <w:bCs/>
              </w:rPr>
              <w:t>Operational &amp; Food Safety Risks (Including Dine-In)</w:t>
            </w:r>
          </w:p>
        </w:tc>
        <w:tc>
          <w:tcPr>
            <w:tcW w:w="0" w:type="auto"/>
            <w:vAlign w:val="center"/>
            <w:hideMark/>
          </w:tcPr>
          <w:p w14:paraId="5EC0FD28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t>Very Low</w:t>
            </w:r>
          </w:p>
        </w:tc>
        <w:tc>
          <w:tcPr>
            <w:tcW w:w="2154" w:type="dxa"/>
            <w:vAlign w:val="center"/>
            <w:hideMark/>
          </w:tcPr>
          <w:p w14:paraId="2CBCDEE5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t>Zero tolerance for major food safety incidents (aligned with top QSR best practices). Ensures stable margins, brand trust, and investor appeal.</w:t>
            </w:r>
          </w:p>
        </w:tc>
        <w:tc>
          <w:tcPr>
            <w:tcW w:w="2602" w:type="dxa"/>
            <w:vAlign w:val="center"/>
            <w:hideMark/>
          </w:tcPr>
          <w:p w14:paraId="64BFB83A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t xml:space="preserve">Any confirmed contamination incident triggers immediate escalation. Supplier rejection rate &gt;1–2%/quarter requires review. Zero critical incidents </w:t>
            </w:r>
            <w:proofErr w:type="gramStart"/>
            <w:r w:rsidRPr="008B055D">
              <w:t>is</w:t>
            </w:r>
            <w:proofErr w:type="gramEnd"/>
            <w:r w:rsidRPr="008B055D">
              <w:t xml:space="preserve"> standard among top-tier F&amp;B brands.</w:t>
            </w:r>
          </w:p>
        </w:tc>
        <w:tc>
          <w:tcPr>
            <w:tcW w:w="0" w:type="auto"/>
            <w:vAlign w:val="center"/>
            <w:hideMark/>
          </w:tcPr>
          <w:p w14:paraId="2A0B7C63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rPr>
                <w:b/>
                <w:bCs/>
              </w:rPr>
              <w:t>KRIs:</w:t>
            </w:r>
            <w:r w:rsidRPr="008B055D">
              <w:t xml:space="preserve"> Food safety incidents per quarter, audit scores. </w:t>
            </w:r>
            <w:r w:rsidRPr="008B055D">
              <w:rPr>
                <w:b/>
                <w:bCs/>
              </w:rPr>
              <w:t>KPIs:</w:t>
            </w:r>
            <w:r w:rsidRPr="008B055D">
              <w:t xml:space="preserve"> Zero contamination events/year, 100% HACCP/ISO 22000 compliance.</w:t>
            </w:r>
          </w:p>
        </w:tc>
      </w:tr>
      <w:tr w:rsidR="008B055D" w:rsidRPr="008B055D" w14:paraId="46BC9B1E" w14:textId="77777777" w:rsidTr="00306255">
        <w:tc>
          <w:tcPr>
            <w:tcW w:w="0" w:type="auto"/>
            <w:vAlign w:val="center"/>
            <w:hideMark/>
          </w:tcPr>
          <w:p w14:paraId="0F26DDA5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rPr>
                <w:b/>
                <w:bCs/>
              </w:rPr>
              <w:t>Brand &amp; Reputational Risks</w:t>
            </w:r>
          </w:p>
        </w:tc>
        <w:tc>
          <w:tcPr>
            <w:tcW w:w="0" w:type="auto"/>
            <w:vAlign w:val="center"/>
            <w:hideMark/>
          </w:tcPr>
          <w:p w14:paraId="6111B717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t>Low</w:t>
            </w:r>
          </w:p>
        </w:tc>
        <w:tc>
          <w:tcPr>
            <w:tcW w:w="2154" w:type="dxa"/>
            <w:vAlign w:val="center"/>
            <w:hideMark/>
          </w:tcPr>
          <w:p w14:paraId="7FA9D760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t>Positive brand perception (NPS &gt;50 is excellent in hospitality), ethical sourcing, and transparency drive loyalty and investor confidence.</w:t>
            </w:r>
          </w:p>
        </w:tc>
        <w:tc>
          <w:tcPr>
            <w:tcW w:w="2602" w:type="dxa"/>
            <w:vAlign w:val="center"/>
            <w:hideMark/>
          </w:tcPr>
          <w:p w14:paraId="31B87EE7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t>Immediate remediation if NPS &lt;40 for two consecutive months (industry good: 40–60), or if negative media event (&gt;10,000 impressions) occurs more than once/quarter. No tolerance for unethical sourcing or deceptive marketing.</w:t>
            </w:r>
          </w:p>
        </w:tc>
        <w:tc>
          <w:tcPr>
            <w:tcW w:w="0" w:type="auto"/>
            <w:vAlign w:val="center"/>
            <w:hideMark/>
          </w:tcPr>
          <w:p w14:paraId="0DE935AB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rPr>
                <w:b/>
                <w:bCs/>
              </w:rPr>
              <w:t>KRIs:</w:t>
            </w:r>
            <w:r w:rsidRPr="008B055D">
              <w:t xml:space="preserve"> Media sentiment, negative mentions. </w:t>
            </w:r>
            <w:r w:rsidRPr="008B055D">
              <w:rPr>
                <w:b/>
                <w:bCs/>
              </w:rPr>
              <w:t>KPIs:</w:t>
            </w:r>
            <w:r w:rsidRPr="008B055D">
              <w:t xml:space="preserve"> NPS &gt;50 monthly, &lt;1 major negative PR event/quarter.</w:t>
            </w:r>
          </w:p>
        </w:tc>
      </w:tr>
      <w:tr w:rsidR="008B055D" w:rsidRPr="008B055D" w14:paraId="2ECA9284" w14:textId="77777777" w:rsidTr="00306255">
        <w:tc>
          <w:tcPr>
            <w:tcW w:w="0" w:type="auto"/>
            <w:vAlign w:val="center"/>
            <w:hideMark/>
          </w:tcPr>
          <w:p w14:paraId="4C979801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rPr>
                <w:b/>
                <w:bCs/>
              </w:rPr>
              <w:t>Regulatory &amp; Compliance Risks</w:t>
            </w:r>
          </w:p>
        </w:tc>
        <w:tc>
          <w:tcPr>
            <w:tcW w:w="0" w:type="auto"/>
            <w:vAlign w:val="center"/>
            <w:hideMark/>
          </w:tcPr>
          <w:p w14:paraId="6EAF2A7D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t>Very Low</w:t>
            </w:r>
          </w:p>
        </w:tc>
        <w:tc>
          <w:tcPr>
            <w:tcW w:w="2154" w:type="dxa"/>
            <w:vAlign w:val="center"/>
            <w:hideMark/>
          </w:tcPr>
          <w:p w14:paraId="50FDEC3A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t xml:space="preserve">Strict compliance ensures no major legal disruptions, stable operations, and credibility with regulators and </w:t>
            </w:r>
            <w:r w:rsidRPr="008B055D">
              <w:lastRenderedPageBreak/>
              <w:t>investors—essential for IPO.</w:t>
            </w:r>
          </w:p>
        </w:tc>
        <w:tc>
          <w:tcPr>
            <w:tcW w:w="2602" w:type="dxa"/>
            <w:vAlign w:val="center"/>
            <w:hideMark/>
          </w:tcPr>
          <w:p w14:paraId="385C5FC9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lastRenderedPageBreak/>
              <w:t xml:space="preserve">Zero tolerance for </w:t>
            </w:r>
            <w:proofErr w:type="spellStart"/>
            <w:r w:rsidRPr="008B055D">
              <w:t>willful</w:t>
            </w:r>
            <w:proofErr w:type="spellEnd"/>
            <w:r w:rsidRPr="008B055D">
              <w:t xml:space="preserve"> non-compliance. Any fine &gt;$10,000 or repeated citations in a year triggers Board review. Industry </w:t>
            </w:r>
            <w:r w:rsidRPr="008B055D">
              <w:lastRenderedPageBreak/>
              <w:t>leaders target zero major compliance breaches.</w:t>
            </w:r>
          </w:p>
        </w:tc>
        <w:tc>
          <w:tcPr>
            <w:tcW w:w="0" w:type="auto"/>
            <w:vAlign w:val="center"/>
            <w:hideMark/>
          </w:tcPr>
          <w:p w14:paraId="4AD37F61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rPr>
                <w:b/>
                <w:bCs/>
              </w:rPr>
              <w:lastRenderedPageBreak/>
              <w:t>KRIs:</w:t>
            </w:r>
            <w:r w:rsidRPr="008B055D">
              <w:t xml:space="preserve"> Regulatory citations, fine amounts. </w:t>
            </w:r>
            <w:r w:rsidRPr="008B055D">
              <w:rPr>
                <w:b/>
                <w:bCs/>
              </w:rPr>
              <w:t>KPIs:</w:t>
            </w:r>
            <w:r w:rsidRPr="008B055D">
              <w:t xml:space="preserve"> Zero major compliance violations/year, </w:t>
            </w:r>
            <w:r w:rsidRPr="008B055D">
              <w:lastRenderedPageBreak/>
              <w:t>100% on-time filings.</w:t>
            </w:r>
          </w:p>
        </w:tc>
      </w:tr>
      <w:tr w:rsidR="008B055D" w:rsidRPr="008B055D" w14:paraId="3262F9D7" w14:textId="77777777" w:rsidTr="00306255">
        <w:tc>
          <w:tcPr>
            <w:tcW w:w="0" w:type="auto"/>
            <w:vAlign w:val="center"/>
            <w:hideMark/>
          </w:tcPr>
          <w:p w14:paraId="2C63A979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rPr>
                <w:b/>
                <w:bCs/>
              </w:rPr>
              <w:lastRenderedPageBreak/>
              <w:t>Financial &amp; Capital Allocation Risks</w:t>
            </w:r>
          </w:p>
        </w:tc>
        <w:tc>
          <w:tcPr>
            <w:tcW w:w="0" w:type="auto"/>
            <w:vAlign w:val="center"/>
            <w:hideMark/>
          </w:tcPr>
          <w:p w14:paraId="0669406E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t>Moderate</w:t>
            </w:r>
          </w:p>
        </w:tc>
        <w:tc>
          <w:tcPr>
            <w:tcW w:w="2154" w:type="dxa"/>
            <w:vAlign w:val="center"/>
            <w:hideMark/>
          </w:tcPr>
          <w:p w14:paraId="0ED97BA7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t>Prudent investments (capex ROI &gt;20%, payback &lt;3 years) support sustainable growth and enhance IPO valuation.</w:t>
            </w:r>
          </w:p>
        </w:tc>
        <w:tc>
          <w:tcPr>
            <w:tcW w:w="2602" w:type="dxa"/>
            <w:vAlign w:val="center"/>
            <w:hideMark/>
          </w:tcPr>
          <w:p w14:paraId="48697847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t>Maintain current ratio &gt;1.2 and debt-to-equity &lt;1.5 (common comfort zones). Major capex &gt;$1M must achieve ROI &gt;20% and payback &lt;3 years.</w:t>
            </w:r>
          </w:p>
        </w:tc>
        <w:tc>
          <w:tcPr>
            <w:tcW w:w="0" w:type="auto"/>
            <w:vAlign w:val="center"/>
            <w:hideMark/>
          </w:tcPr>
          <w:p w14:paraId="113827FE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rPr>
                <w:b/>
                <w:bCs/>
              </w:rPr>
              <w:t>KRIs:</w:t>
            </w:r>
            <w:r w:rsidRPr="008B055D">
              <w:t xml:space="preserve"> Liquidity (current ratio), solvency (D/E). </w:t>
            </w:r>
            <w:r w:rsidRPr="008B055D">
              <w:rPr>
                <w:b/>
                <w:bCs/>
              </w:rPr>
              <w:t>KPIs:</w:t>
            </w:r>
            <w:r w:rsidRPr="008B055D">
              <w:t xml:space="preserve"> ROI&gt;20% on major projects, current ratio&gt;1.2, D/E&lt;1.5.</w:t>
            </w:r>
          </w:p>
        </w:tc>
      </w:tr>
      <w:tr w:rsidR="008B055D" w:rsidRPr="008B055D" w14:paraId="2B376FDB" w14:textId="77777777" w:rsidTr="00306255">
        <w:tc>
          <w:tcPr>
            <w:tcW w:w="0" w:type="auto"/>
            <w:vAlign w:val="center"/>
            <w:hideMark/>
          </w:tcPr>
          <w:p w14:paraId="1A177A49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rPr>
                <w:b/>
                <w:bCs/>
              </w:rPr>
              <w:t>Technology, Data Security &amp; Privacy Risks</w:t>
            </w:r>
          </w:p>
        </w:tc>
        <w:tc>
          <w:tcPr>
            <w:tcW w:w="0" w:type="auto"/>
            <w:vAlign w:val="center"/>
            <w:hideMark/>
          </w:tcPr>
          <w:p w14:paraId="11BAF972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t>Low</w:t>
            </w:r>
          </w:p>
        </w:tc>
        <w:tc>
          <w:tcPr>
            <w:tcW w:w="2154" w:type="dxa"/>
            <w:vAlign w:val="center"/>
            <w:hideMark/>
          </w:tcPr>
          <w:p w14:paraId="4D00435C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t>Robust cybersecurity and data governance (GDPR, PCI DSS compliance) ensure operational integrity and investor trust.</w:t>
            </w:r>
          </w:p>
        </w:tc>
        <w:tc>
          <w:tcPr>
            <w:tcW w:w="2602" w:type="dxa"/>
            <w:vAlign w:val="center"/>
            <w:hideMark/>
          </w:tcPr>
          <w:p w14:paraId="1E24FC10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t xml:space="preserve">Zero critical security vulnerabilities &gt;7 days unresolved. Data breach &gt;100 records </w:t>
            </w:r>
            <w:proofErr w:type="gramStart"/>
            <w:r w:rsidRPr="008B055D">
              <w:t>triggers</w:t>
            </w:r>
            <w:proofErr w:type="gramEnd"/>
            <w:r w:rsidRPr="008B055D">
              <w:t xml:space="preserve"> immediate executive action. Aim for 99.9%+ uptime (industry benchmark).</w:t>
            </w:r>
          </w:p>
        </w:tc>
        <w:tc>
          <w:tcPr>
            <w:tcW w:w="0" w:type="auto"/>
            <w:vAlign w:val="center"/>
            <w:hideMark/>
          </w:tcPr>
          <w:p w14:paraId="0BE6AAE9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rPr>
                <w:b/>
                <w:bCs/>
              </w:rPr>
              <w:t>KRIs:</w:t>
            </w:r>
            <w:r w:rsidRPr="008B055D">
              <w:t xml:space="preserve"> Security incidents, downtime hours. </w:t>
            </w:r>
            <w:r w:rsidRPr="008B055D">
              <w:rPr>
                <w:b/>
                <w:bCs/>
              </w:rPr>
              <w:t>KPIs:</w:t>
            </w:r>
            <w:r w:rsidRPr="008B055D">
              <w:t xml:space="preserve"> No major breaches/year, &gt;99.9% uptime, full GDPR/PCI DSS compliance.</w:t>
            </w:r>
          </w:p>
        </w:tc>
      </w:tr>
      <w:tr w:rsidR="008B055D" w:rsidRPr="008B055D" w14:paraId="5A020F7D" w14:textId="77777777" w:rsidTr="00306255">
        <w:tc>
          <w:tcPr>
            <w:tcW w:w="0" w:type="auto"/>
            <w:vAlign w:val="center"/>
            <w:hideMark/>
          </w:tcPr>
          <w:p w14:paraId="08CAFBC7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rPr>
                <w:b/>
                <w:bCs/>
              </w:rPr>
              <w:t>Workforce &amp; Labor Risks</w:t>
            </w:r>
          </w:p>
        </w:tc>
        <w:tc>
          <w:tcPr>
            <w:tcW w:w="0" w:type="auto"/>
            <w:vAlign w:val="center"/>
            <w:hideMark/>
          </w:tcPr>
          <w:p w14:paraId="6E29C540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t>Very Low</w:t>
            </w:r>
          </w:p>
        </w:tc>
        <w:tc>
          <w:tcPr>
            <w:tcW w:w="2154" w:type="dxa"/>
            <w:vAlign w:val="center"/>
            <w:hideMark/>
          </w:tcPr>
          <w:p w14:paraId="53811EC9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t>Skilled, stable workforce lowers costs and boosts efficiency. Annual turnover &lt;20% is strong vs. industry averages &gt;30%.</w:t>
            </w:r>
          </w:p>
        </w:tc>
        <w:tc>
          <w:tcPr>
            <w:tcW w:w="2602" w:type="dxa"/>
            <w:vAlign w:val="center"/>
            <w:hideMark/>
          </w:tcPr>
          <w:p w14:paraId="1B86ECA6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t xml:space="preserve">Zero tolerance for harassment/discrimination. Turnover &gt;20% or &gt;3 significant </w:t>
            </w:r>
            <w:proofErr w:type="spellStart"/>
            <w:r w:rsidRPr="008B055D">
              <w:t>labor</w:t>
            </w:r>
            <w:proofErr w:type="spellEnd"/>
            <w:r w:rsidRPr="008B055D">
              <w:t xml:space="preserve"> complaints/year triggers review. Positive culture enhances growth and investor confidence.</w:t>
            </w:r>
          </w:p>
        </w:tc>
        <w:tc>
          <w:tcPr>
            <w:tcW w:w="0" w:type="auto"/>
            <w:vAlign w:val="center"/>
            <w:hideMark/>
          </w:tcPr>
          <w:p w14:paraId="223157CD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rPr>
                <w:b/>
                <w:bCs/>
              </w:rPr>
              <w:t>KRIs:</w:t>
            </w:r>
            <w:r w:rsidRPr="008B055D">
              <w:t xml:space="preserve"> Turnover rate, </w:t>
            </w:r>
            <w:proofErr w:type="spellStart"/>
            <w:r w:rsidRPr="008B055D">
              <w:t>labor</w:t>
            </w:r>
            <w:proofErr w:type="spellEnd"/>
            <w:r w:rsidRPr="008B055D">
              <w:t xml:space="preserve"> complaints. </w:t>
            </w:r>
            <w:r w:rsidRPr="008B055D">
              <w:rPr>
                <w:b/>
                <w:bCs/>
              </w:rPr>
              <w:t>KPIs:</w:t>
            </w:r>
            <w:r w:rsidRPr="008B055D">
              <w:t xml:space="preserve"> &lt;20% turnover/year, 0 harassment incidents.</w:t>
            </w:r>
          </w:p>
        </w:tc>
      </w:tr>
      <w:tr w:rsidR="008B055D" w:rsidRPr="008B055D" w14:paraId="2B27B796" w14:textId="77777777" w:rsidTr="00306255">
        <w:tc>
          <w:tcPr>
            <w:tcW w:w="0" w:type="auto"/>
            <w:vAlign w:val="center"/>
            <w:hideMark/>
          </w:tcPr>
          <w:p w14:paraId="1C191B35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rPr>
                <w:b/>
                <w:bCs/>
              </w:rPr>
              <w:t>Supply Chain &amp; Partner Risks</w:t>
            </w:r>
          </w:p>
        </w:tc>
        <w:tc>
          <w:tcPr>
            <w:tcW w:w="0" w:type="auto"/>
            <w:vAlign w:val="center"/>
            <w:hideMark/>
          </w:tcPr>
          <w:p w14:paraId="0A359035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t>Low to Moderate</w:t>
            </w:r>
          </w:p>
        </w:tc>
        <w:tc>
          <w:tcPr>
            <w:tcW w:w="2154" w:type="dxa"/>
            <w:vAlign w:val="center"/>
            <w:hideMark/>
          </w:tcPr>
          <w:p w14:paraId="43E9ED76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t>Reliable supply chains (&gt;95% on-time delivery) are industry best practice. Ensures consistent quality, cost control, and scalability.</w:t>
            </w:r>
          </w:p>
        </w:tc>
        <w:tc>
          <w:tcPr>
            <w:tcW w:w="2602" w:type="dxa"/>
            <w:vAlign w:val="center"/>
            <w:hideMark/>
          </w:tcPr>
          <w:p w14:paraId="0047A827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t>On-time delivery &lt;95% for 2 consecutive quarters or &gt;2 compliance breaches/year requires re-evaluation. Contingency plans and diversification mandatory.</w:t>
            </w:r>
          </w:p>
        </w:tc>
        <w:tc>
          <w:tcPr>
            <w:tcW w:w="0" w:type="auto"/>
            <w:vAlign w:val="center"/>
            <w:hideMark/>
          </w:tcPr>
          <w:p w14:paraId="580AA34D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rPr>
                <w:b/>
                <w:bCs/>
              </w:rPr>
              <w:t>KRIs:</w:t>
            </w:r>
            <w:r w:rsidRPr="008B055D">
              <w:t xml:space="preserve"> On-time delivery %, supplier compliance breaches. </w:t>
            </w:r>
            <w:r w:rsidRPr="008B055D">
              <w:rPr>
                <w:b/>
                <w:bCs/>
              </w:rPr>
              <w:t>KPIs:</w:t>
            </w:r>
            <w:r w:rsidRPr="008B055D">
              <w:t xml:space="preserve"> &gt;95% on-time delivery, ≤2 breaches/year.</w:t>
            </w:r>
          </w:p>
        </w:tc>
      </w:tr>
      <w:tr w:rsidR="008B055D" w:rsidRPr="008B055D" w14:paraId="2A5C900F" w14:textId="77777777" w:rsidTr="00306255">
        <w:tc>
          <w:tcPr>
            <w:tcW w:w="0" w:type="auto"/>
            <w:vAlign w:val="center"/>
            <w:hideMark/>
          </w:tcPr>
          <w:p w14:paraId="2DBACBF6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rPr>
                <w:b/>
                <w:bCs/>
              </w:rPr>
              <w:t>Customer Experience &amp; Service Delivery Risks</w:t>
            </w:r>
          </w:p>
        </w:tc>
        <w:tc>
          <w:tcPr>
            <w:tcW w:w="0" w:type="auto"/>
            <w:vAlign w:val="center"/>
            <w:hideMark/>
          </w:tcPr>
          <w:p w14:paraId="722F675E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t>Low</w:t>
            </w:r>
          </w:p>
        </w:tc>
        <w:tc>
          <w:tcPr>
            <w:tcW w:w="2154" w:type="dxa"/>
            <w:vAlign w:val="center"/>
            <w:hideMark/>
          </w:tcPr>
          <w:p w14:paraId="1F9D7A89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t>Excellent customer experience (complaint rate &lt;2%, SLA&gt;95%) strengthens brand, drives loyalty, and supports long-term profitability.</w:t>
            </w:r>
          </w:p>
        </w:tc>
        <w:tc>
          <w:tcPr>
            <w:tcW w:w="2602" w:type="dxa"/>
            <w:vAlign w:val="center"/>
            <w:hideMark/>
          </w:tcPr>
          <w:p w14:paraId="77729722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t>Complaint rate &gt;2% for 2 consecutive months or SLA &lt;95%/quarter triggers corrective plans. NPS &gt;50 is an aspirational target.</w:t>
            </w:r>
          </w:p>
        </w:tc>
        <w:tc>
          <w:tcPr>
            <w:tcW w:w="0" w:type="auto"/>
            <w:vAlign w:val="center"/>
            <w:hideMark/>
          </w:tcPr>
          <w:p w14:paraId="021CEA7E" w14:textId="77777777" w:rsidR="008B055D" w:rsidRPr="008B055D" w:rsidRDefault="008B055D" w:rsidP="008B055D">
            <w:pPr>
              <w:ind w:left="57" w:right="57"/>
              <w:contextualSpacing/>
            </w:pPr>
            <w:r w:rsidRPr="008B055D">
              <w:rPr>
                <w:b/>
                <w:bCs/>
              </w:rPr>
              <w:t>KRIs:</w:t>
            </w:r>
            <w:r w:rsidRPr="008B055D">
              <w:t xml:space="preserve"> Complaint rate, SLA performance. </w:t>
            </w:r>
            <w:r w:rsidRPr="008B055D">
              <w:rPr>
                <w:b/>
                <w:bCs/>
              </w:rPr>
              <w:t>KPIs:</w:t>
            </w:r>
            <w:r w:rsidRPr="008B055D">
              <w:t xml:space="preserve"> NPS &gt;50, complaint rate &lt;2%, SLA&gt;95%.</w:t>
            </w:r>
          </w:p>
        </w:tc>
      </w:tr>
    </w:tbl>
    <w:p w14:paraId="59E36B44" w14:textId="77777777" w:rsidR="00B21F15" w:rsidRDefault="00B21F15" w:rsidP="00B21F15">
      <w:pPr>
        <w:contextualSpacing/>
        <w:rPr>
          <w:b/>
          <w:bCs/>
        </w:rPr>
      </w:pPr>
    </w:p>
    <w:p w14:paraId="3289EFA0" w14:textId="2B0780C2" w:rsidR="008B055D" w:rsidRPr="008B055D" w:rsidRDefault="008B055D" w:rsidP="008B055D">
      <w:pPr>
        <w:shd w:val="clear" w:color="auto" w:fill="FFF2CC" w:themeFill="accent4" w:themeFillTint="33"/>
      </w:pPr>
      <w:r w:rsidRPr="008B055D">
        <w:rPr>
          <w:b/>
          <w:bCs/>
        </w:rPr>
        <w:t>5. Integration with KRIs &amp; KPIs</w:t>
      </w:r>
    </w:p>
    <w:p w14:paraId="70BA94AE" w14:textId="77777777" w:rsidR="008B055D" w:rsidRPr="008B055D" w:rsidRDefault="008B055D" w:rsidP="008B055D">
      <w:pPr>
        <w:numPr>
          <w:ilvl w:val="0"/>
          <w:numId w:val="10"/>
        </w:numPr>
      </w:pPr>
      <w:r w:rsidRPr="008B055D">
        <w:t>KRIs/KPIs are monitored monthly by Management and quarterly by the Risk Committee.</w:t>
      </w:r>
    </w:p>
    <w:p w14:paraId="40E6C2F5" w14:textId="77777777" w:rsidR="008B055D" w:rsidRPr="008B055D" w:rsidRDefault="008B055D" w:rsidP="008B055D">
      <w:pPr>
        <w:numPr>
          <w:ilvl w:val="0"/>
          <w:numId w:val="10"/>
        </w:numPr>
      </w:pPr>
      <w:r w:rsidRPr="008B055D">
        <w:lastRenderedPageBreak/>
        <w:t>Deviations prompt corrective actions, resource reallocation, or policy adjustments.</w:t>
      </w:r>
    </w:p>
    <w:p w14:paraId="6FD212A2" w14:textId="77777777" w:rsidR="008B055D" w:rsidRPr="008B055D" w:rsidRDefault="008B055D" w:rsidP="008B055D">
      <w:pPr>
        <w:numPr>
          <w:ilvl w:val="0"/>
          <w:numId w:val="10"/>
        </w:numPr>
      </w:pPr>
      <w:r w:rsidRPr="008B055D">
        <w:t>Annual reviews align thresholds with evolving market conditions, regulatory landscapes, and investor expectations.</w:t>
      </w:r>
    </w:p>
    <w:p w14:paraId="4F838D3F" w14:textId="77777777" w:rsidR="008B055D" w:rsidRPr="008B055D" w:rsidRDefault="008B055D" w:rsidP="008B055D">
      <w:pPr>
        <w:shd w:val="clear" w:color="auto" w:fill="FFF2CC" w:themeFill="accent4" w:themeFillTint="33"/>
      </w:pPr>
      <w:r w:rsidRPr="008B055D">
        <w:rPr>
          <w:b/>
          <w:bCs/>
        </w:rPr>
        <w:t>6. Implementation, Controls &amp; Culture</w:t>
      </w:r>
    </w:p>
    <w:p w14:paraId="04CE86A7" w14:textId="77777777" w:rsidR="008B055D" w:rsidRPr="008B055D" w:rsidRDefault="008B055D" w:rsidP="008B055D">
      <w:pPr>
        <w:numPr>
          <w:ilvl w:val="0"/>
          <w:numId w:val="11"/>
        </w:numPr>
      </w:pPr>
      <w:r w:rsidRPr="008B055D">
        <w:rPr>
          <w:b/>
          <w:bCs/>
        </w:rPr>
        <w:t>Policies &amp; SOPs:</w:t>
      </w:r>
      <w:r w:rsidRPr="008B055D">
        <w:t xml:space="preserve"> Translate risk appetites into detailed procedures (e.g., supplier evaluation criteria, incident response protocols).</w:t>
      </w:r>
    </w:p>
    <w:p w14:paraId="02106334" w14:textId="77777777" w:rsidR="008B055D" w:rsidRPr="008B055D" w:rsidRDefault="008B055D" w:rsidP="008B055D">
      <w:pPr>
        <w:numPr>
          <w:ilvl w:val="0"/>
          <w:numId w:val="11"/>
        </w:numPr>
      </w:pPr>
      <w:r w:rsidRPr="008B055D">
        <w:rPr>
          <w:b/>
          <w:bCs/>
        </w:rPr>
        <w:t>Training:</w:t>
      </w:r>
      <w:r w:rsidRPr="008B055D">
        <w:t xml:space="preserve"> Mandatory biannual training on compliance, data security, and safety. Quarterly updates on KRI/KPI performance and lessons learned.</w:t>
      </w:r>
    </w:p>
    <w:p w14:paraId="49BA6DA6" w14:textId="77777777" w:rsidR="008B055D" w:rsidRPr="008B055D" w:rsidRDefault="008B055D" w:rsidP="008B055D">
      <w:pPr>
        <w:numPr>
          <w:ilvl w:val="0"/>
          <w:numId w:val="11"/>
        </w:numPr>
      </w:pPr>
      <w:r w:rsidRPr="008B055D">
        <w:rPr>
          <w:b/>
          <w:bCs/>
        </w:rPr>
        <w:t>Incentives &amp; Accountability:</w:t>
      </w:r>
      <w:r w:rsidRPr="008B055D">
        <w:t xml:space="preserve"> Risk performance may influence management compensation and career progression. Persistent failure to meet standards triggers remediation plans and possible managerial adjustments.</w:t>
      </w:r>
    </w:p>
    <w:p w14:paraId="6AAE95F1" w14:textId="77777777" w:rsidR="008B055D" w:rsidRPr="008B055D" w:rsidRDefault="008B055D" w:rsidP="008B055D">
      <w:pPr>
        <w:shd w:val="clear" w:color="auto" w:fill="FFF2CC" w:themeFill="accent4" w:themeFillTint="33"/>
      </w:pPr>
      <w:r w:rsidRPr="008B055D">
        <w:rPr>
          <w:b/>
          <w:bCs/>
        </w:rPr>
        <w:t>7. Monitoring &amp; Reporting</w:t>
      </w:r>
    </w:p>
    <w:p w14:paraId="46BB29D9" w14:textId="77777777" w:rsidR="008B055D" w:rsidRPr="008B055D" w:rsidRDefault="008B055D" w:rsidP="008B055D">
      <w:pPr>
        <w:numPr>
          <w:ilvl w:val="0"/>
          <w:numId w:val="12"/>
        </w:numPr>
      </w:pPr>
      <w:r w:rsidRPr="008B055D">
        <w:rPr>
          <w:b/>
          <w:bCs/>
        </w:rPr>
        <w:t>Periodic Reporting:</w:t>
      </w:r>
      <w:r w:rsidRPr="008B055D">
        <w:t xml:space="preserve"> Monthly dashboards for Management, quarterly reports for the Risk Committee, and annual summaries for the Board.</w:t>
      </w:r>
    </w:p>
    <w:p w14:paraId="154147DF" w14:textId="77777777" w:rsidR="008B055D" w:rsidRPr="008B055D" w:rsidRDefault="008B055D" w:rsidP="008B055D">
      <w:pPr>
        <w:numPr>
          <w:ilvl w:val="0"/>
          <w:numId w:val="12"/>
        </w:numPr>
      </w:pPr>
      <w:r w:rsidRPr="008B055D">
        <w:rPr>
          <w:b/>
          <w:bCs/>
        </w:rPr>
        <w:t>Escalation Protocols:</w:t>
      </w:r>
      <w:r w:rsidRPr="008B055D">
        <w:t xml:space="preserve"> Any threshold breach must be escalated within 72 hours. Material breaches (e.g., major data loss, severe regulatory fines) require immediate Board notification.</w:t>
      </w:r>
    </w:p>
    <w:p w14:paraId="2DC3D4CD" w14:textId="77777777" w:rsidR="008B055D" w:rsidRPr="008B055D" w:rsidRDefault="008B055D" w:rsidP="008B055D">
      <w:pPr>
        <w:shd w:val="clear" w:color="auto" w:fill="FFF2CC" w:themeFill="accent4" w:themeFillTint="33"/>
      </w:pPr>
      <w:r w:rsidRPr="008B055D">
        <w:rPr>
          <w:b/>
          <w:bCs/>
        </w:rPr>
        <w:t>8. Review &amp; Continuous Improvement</w:t>
      </w:r>
    </w:p>
    <w:p w14:paraId="4CC77950" w14:textId="77777777" w:rsidR="008B055D" w:rsidRPr="008B055D" w:rsidRDefault="008B055D" w:rsidP="008B055D">
      <w:pPr>
        <w:numPr>
          <w:ilvl w:val="0"/>
          <w:numId w:val="13"/>
        </w:numPr>
      </w:pPr>
      <w:r w:rsidRPr="008B055D">
        <w:rPr>
          <w:b/>
          <w:bCs/>
        </w:rPr>
        <w:t>Annual Review:</w:t>
      </w:r>
      <w:r w:rsidRPr="008B055D">
        <w:t xml:space="preserve"> The Board and Risk Committee update risk appetites based on performance, industry benchmarks, and strategic shifts.</w:t>
      </w:r>
    </w:p>
    <w:p w14:paraId="1B85DEC9" w14:textId="77777777" w:rsidR="008B055D" w:rsidRPr="008B055D" w:rsidRDefault="008B055D" w:rsidP="008B055D">
      <w:pPr>
        <w:numPr>
          <w:ilvl w:val="0"/>
          <w:numId w:val="13"/>
        </w:numPr>
      </w:pPr>
      <w:r w:rsidRPr="008B055D">
        <w:rPr>
          <w:b/>
          <w:bCs/>
        </w:rPr>
        <w:t>Trigger-Based Interim Reviews:</w:t>
      </w:r>
      <w:r w:rsidRPr="008B055D">
        <w:t xml:space="preserve"> Significant events (e.g., new market entries, acquisitions, regulatory changes) may prompt off-cycle reviews.</w:t>
      </w:r>
    </w:p>
    <w:p w14:paraId="79C08DFF" w14:textId="77777777" w:rsidR="008B055D" w:rsidRPr="008B055D" w:rsidRDefault="008B055D" w:rsidP="008B055D">
      <w:pPr>
        <w:numPr>
          <w:ilvl w:val="0"/>
          <w:numId w:val="13"/>
        </w:numPr>
      </w:pPr>
      <w:r w:rsidRPr="008B055D">
        <w:rPr>
          <w:b/>
          <w:bCs/>
        </w:rPr>
        <w:t>Benchmarking:</w:t>
      </w:r>
      <w:r w:rsidRPr="008B055D">
        <w:t xml:space="preserve"> Periodic comparisons with industry standards ensure that thresholds remain relevant and competitive.</w:t>
      </w:r>
    </w:p>
    <w:p w14:paraId="099AA24A" w14:textId="77777777" w:rsidR="008B055D" w:rsidRPr="008B055D" w:rsidRDefault="008B055D" w:rsidP="008B055D">
      <w:pPr>
        <w:shd w:val="clear" w:color="auto" w:fill="FFF2CC" w:themeFill="accent4" w:themeFillTint="33"/>
      </w:pPr>
      <w:r w:rsidRPr="008B055D">
        <w:rPr>
          <w:b/>
          <w:bCs/>
        </w:rPr>
        <w:t>9. Approval &amp; Revision History</w:t>
      </w:r>
    </w:p>
    <w:p w14:paraId="0C509839" w14:textId="77777777" w:rsidR="008B055D" w:rsidRPr="008B055D" w:rsidRDefault="008B055D" w:rsidP="008B055D">
      <w:pPr>
        <w:numPr>
          <w:ilvl w:val="0"/>
          <w:numId w:val="14"/>
        </w:numPr>
      </w:pPr>
      <w:r w:rsidRPr="008B055D">
        <w:rPr>
          <w:b/>
          <w:bCs/>
        </w:rPr>
        <w:t>Approval:</w:t>
      </w:r>
      <w:r w:rsidRPr="008B055D">
        <w:t xml:space="preserve"> Approved by the Board of Directors on [Insert Date].</w:t>
      </w:r>
    </w:p>
    <w:p w14:paraId="0AEC840C" w14:textId="77777777" w:rsidR="008B055D" w:rsidRPr="008B055D" w:rsidRDefault="008B055D" w:rsidP="008B055D">
      <w:pPr>
        <w:numPr>
          <w:ilvl w:val="0"/>
          <w:numId w:val="14"/>
        </w:numPr>
      </w:pPr>
      <w:r w:rsidRPr="008B055D">
        <w:rPr>
          <w:b/>
          <w:bCs/>
        </w:rPr>
        <w:t>Revision History:</w:t>
      </w:r>
    </w:p>
    <w:p w14:paraId="2E9282D2" w14:textId="77777777" w:rsidR="008B055D" w:rsidRPr="008B055D" w:rsidRDefault="008B055D" w:rsidP="008B055D">
      <w:pPr>
        <w:numPr>
          <w:ilvl w:val="1"/>
          <w:numId w:val="14"/>
        </w:numPr>
      </w:pPr>
      <w:r w:rsidRPr="008B055D">
        <w:t>[Insert Date]: Incorporation of quantifiable thresholds, industry benchmarks, KRIs/KPIs, and escalation protocols.</w:t>
      </w:r>
    </w:p>
    <w:p w14:paraId="215685F1" w14:textId="77777777" w:rsidR="00B21F15" w:rsidRDefault="00B21F15" w:rsidP="008B055D">
      <w:pPr>
        <w:jc w:val="center"/>
        <w:rPr>
          <w:b/>
          <w:bCs/>
        </w:rPr>
      </w:pPr>
    </w:p>
    <w:p w14:paraId="48033808" w14:textId="24CE81CE" w:rsidR="008B055D" w:rsidRPr="008B055D" w:rsidRDefault="008B055D" w:rsidP="008B055D">
      <w:pPr>
        <w:jc w:val="center"/>
      </w:pPr>
      <w:r w:rsidRPr="008B055D">
        <w:rPr>
          <w:b/>
          <w:bCs/>
        </w:rPr>
        <w:t>End of Policy Document</w:t>
      </w:r>
    </w:p>
    <w:p w14:paraId="23568676" w14:textId="77777777" w:rsidR="008B055D" w:rsidRPr="000378A5" w:rsidRDefault="008B055D" w:rsidP="000378A5"/>
    <w:sectPr w:rsidR="008B055D" w:rsidRPr="000378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8494E"/>
    <w:multiLevelType w:val="multilevel"/>
    <w:tmpl w:val="0F685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14900"/>
    <w:multiLevelType w:val="multilevel"/>
    <w:tmpl w:val="7DD0F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A44A0F"/>
    <w:multiLevelType w:val="multilevel"/>
    <w:tmpl w:val="F1A87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CA74B9"/>
    <w:multiLevelType w:val="multilevel"/>
    <w:tmpl w:val="3AECE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3D1F59"/>
    <w:multiLevelType w:val="multilevel"/>
    <w:tmpl w:val="B9629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E10D9B"/>
    <w:multiLevelType w:val="multilevel"/>
    <w:tmpl w:val="6358B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C131E6"/>
    <w:multiLevelType w:val="multilevel"/>
    <w:tmpl w:val="E1785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D1713E"/>
    <w:multiLevelType w:val="multilevel"/>
    <w:tmpl w:val="53348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A75DBE"/>
    <w:multiLevelType w:val="multilevel"/>
    <w:tmpl w:val="1A580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184FDB"/>
    <w:multiLevelType w:val="multilevel"/>
    <w:tmpl w:val="86DC4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1E0A68"/>
    <w:multiLevelType w:val="multilevel"/>
    <w:tmpl w:val="EA2AF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BF2F66"/>
    <w:multiLevelType w:val="multilevel"/>
    <w:tmpl w:val="2FECE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FD2FC5"/>
    <w:multiLevelType w:val="multilevel"/>
    <w:tmpl w:val="CABAE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EA77ED"/>
    <w:multiLevelType w:val="multilevel"/>
    <w:tmpl w:val="1C566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595941">
    <w:abstractNumId w:val="13"/>
  </w:num>
  <w:num w:numId="2" w16cid:durableId="427118097">
    <w:abstractNumId w:val="2"/>
  </w:num>
  <w:num w:numId="3" w16cid:durableId="1674606216">
    <w:abstractNumId w:val="10"/>
  </w:num>
  <w:num w:numId="4" w16cid:durableId="701828340">
    <w:abstractNumId w:val="0"/>
  </w:num>
  <w:num w:numId="5" w16cid:durableId="270405015">
    <w:abstractNumId w:val="3"/>
  </w:num>
  <w:num w:numId="6" w16cid:durableId="380324806">
    <w:abstractNumId w:val="12"/>
  </w:num>
  <w:num w:numId="7" w16cid:durableId="1560240280">
    <w:abstractNumId w:val="5"/>
  </w:num>
  <w:num w:numId="8" w16cid:durableId="2059625646">
    <w:abstractNumId w:val="8"/>
  </w:num>
  <w:num w:numId="9" w16cid:durableId="267086017">
    <w:abstractNumId w:val="6"/>
  </w:num>
  <w:num w:numId="10" w16cid:durableId="301472620">
    <w:abstractNumId w:val="11"/>
  </w:num>
  <w:num w:numId="11" w16cid:durableId="1938248767">
    <w:abstractNumId w:val="4"/>
  </w:num>
  <w:num w:numId="12" w16cid:durableId="1899003370">
    <w:abstractNumId w:val="7"/>
  </w:num>
  <w:num w:numId="13" w16cid:durableId="1807889931">
    <w:abstractNumId w:val="9"/>
  </w:num>
  <w:num w:numId="14" w16cid:durableId="1002390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FE"/>
    <w:rsid w:val="000378A5"/>
    <w:rsid w:val="00306255"/>
    <w:rsid w:val="00392C37"/>
    <w:rsid w:val="003C4760"/>
    <w:rsid w:val="006D3DC0"/>
    <w:rsid w:val="008B055D"/>
    <w:rsid w:val="00B21F15"/>
    <w:rsid w:val="00B9165B"/>
    <w:rsid w:val="00E159F5"/>
    <w:rsid w:val="00F3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EDAAE"/>
  <w15:chartTrackingRefBased/>
  <w15:docId w15:val="{173C80D4-336C-46FF-BDE9-2A8697D56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2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2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27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2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27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27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27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27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27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27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27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27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27F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27F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27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27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27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27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27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2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2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2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2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27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27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27F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7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7F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27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17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5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1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45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75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460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57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235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9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52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23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33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169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09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862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763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3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1253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Majid Mumtaz</dc:creator>
  <cp:keywords/>
  <dc:description/>
  <cp:lastModifiedBy>Majid Mumtaz</cp:lastModifiedBy>
  <cp:revision>4</cp:revision>
  <dcterms:created xsi:type="dcterms:W3CDTF">2024-12-18T15:36:00Z</dcterms:created>
  <dcterms:modified xsi:type="dcterms:W3CDTF">2024-12-18T17:10:00Z</dcterms:modified>
</cp:coreProperties>
</file>